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ABB03">
      <w:pPr>
        <w:pStyle w:val="3"/>
        <w:rPr>
          <w:rFonts w:hint="eastAsia" w:ascii="Times New Roman"/>
          <w:sz w:val="20"/>
          <w:lang w:eastAsia="zh-CN"/>
        </w:rPr>
      </w:pPr>
    </w:p>
    <w:p w14:paraId="5C135B14">
      <w:pPr>
        <w:pStyle w:val="3"/>
        <w:rPr>
          <w:rFonts w:ascii="Times New Roman"/>
          <w:sz w:val="20"/>
        </w:rPr>
      </w:pPr>
    </w:p>
    <w:p w14:paraId="28C206D5">
      <w:pPr>
        <w:pStyle w:val="3"/>
        <w:tabs>
          <w:tab w:val="left" w:pos="979"/>
          <w:tab w:val="left" w:pos="1399"/>
          <w:tab w:val="left" w:pos="2779"/>
        </w:tabs>
        <w:spacing w:before="166"/>
        <w:jc w:val="center"/>
        <w:rPr>
          <w:rFonts w:ascii="Times New Roman" w:hAnsi="Times New Roman"/>
          <w:lang w:eastAsia="zh-CN"/>
        </w:rPr>
      </w:pPr>
      <w:r>
        <w:rPr>
          <w:rFonts w:hint="eastAsia" w:ascii="Times New Roman" w:hAnsi="Times New Roman"/>
          <w:b/>
          <w:bCs/>
          <w:sz w:val="36"/>
          <w:szCs w:val="36"/>
          <w:lang w:eastAsia="zh-CN"/>
        </w:rPr>
        <w:t>Application Instructions for the 12th Capek Prize</w:t>
      </w:r>
    </w:p>
    <w:p w14:paraId="051F7695">
      <w:pPr>
        <w:pStyle w:val="3"/>
        <w:tabs>
          <w:tab w:val="left" w:pos="979"/>
          <w:tab w:val="left" w:pos="1399"/>
          <w:tab w:val="left" w:pos="2779"/>
        </w:tabs>
        <w:spacing w:before="166"/>
        <w:jc w:val="both"/>
        <w:rPr>
          <w:rFonts w:ascii="Times New Roman" w:hAnsi="Times New Roman"/>
          <w:sz w:val="22"/>
          <w:szCs w:val="22"/>
          <w:lang w:eastAsia="zh-CN"/>
        </w:rPr>
      </w:pPr>
    </w:p>
    <w:p w14:paraId="2FB78FA7">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In order to empower the robotics industry ecosystem, enhance the management capabilities of enterprises, establish industry benchmarks, inspire innovation and creativity of robot industry workers, and further cultivate new driving forces for enterprise and economic development, as well as promote the development and talent development in China</w:t>
      </w:r>
      <w:r>
        <w:rPr>
          <w:rFonts w:ascii="Times New Roman" w:hAnsi="Times New Roman"/>
          <w:sz w:val="22"/>
          <w:szCs w:val="22"/>
          <w:lang w:eastAsia="zh-CN"/>
        </w:rPr>
        <w:t>’</w:t>
      </w:r>
      <w:r>
        <w:rPr>
          <w:rFonts w:hint="eastAsia" w:ascii="Times New Roman" w:hAnsi="Times New Roman"/>
          <w:sz w:val="22"/>
          <w:szCs w:val="22"/>
          <w:lang w:eastAsia="zh-CN"/>
        </w:rPr>
        <w:t xml:space="preserve">s robotics sector, the organizing committee of the Capek Prize launched the 12th annual selection of the Capek Prize on January </w:t>
      </w:r>
      <w:r>
        <w:rPr>
          <w:rFonts w:hint="eastAsia" w:ascii="Times New Roman" w:hAnsi="Times New Roman"/>
          <w:sz w:val="22"/>
          <w:szCs w:val="22"/>
          <w:lang w:val="en-US" w:eastAsia="zh-CN"/>
        </w:rPr>
        <w:t>5</w:t>
      </w:r>
      <w:r>
        <w:rPr>
          <w:rFonts w:hint="eastAsia" w:ascii="Times New Roman" w:hAnsi="Times New Roman"/>
          <w:sz w:val="22"/>
          <w:szCs w:val="22"/>
          <w:lang w:eastAsia="zh-CN"/>
        </w:rPr>
        <w:t xml:space="preserve">, 2026. </w:t>
      </w:r>
    </w:p>
    <w:p w14:paraId="19177204">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This year's Capek Prize includes six categories: "Brand Award", "Product Award", "Application Scenario Award", "Individual Award", "Social Organization Award", and "Industry-Academia Integration Award". The "16th China International Robot Summit Forum and the 12th Capek Prize Ceremony" will be held in May 2026 to commend the award-winning units and individuals. The relevant matters are hereby notified as follows:</w:t>
      </w:r>
    </w:p>
    <w:p w14:paraId="680F043E">
      <w:pPr>
        <w:pStyle w:val="3"/>
        <w:tabs>
          <w:tab w:val="left" w:pos="979"/>
          <w:tab w:val="left" w:pos="1399"/>
          <w:tab w:val="left" w:pos="2779"/>
        </w:tabs>
        <w:spacing w:before="166" w:line="360" w:lineRule="auto"/>
        <w:jc w:val="both"/>
        <w:rPr>
          <w:rFonts w:ascii="Times New Roman" w:hAnsi="Times New Roman"/>
          <w:sz w:val="22"/>
          <w:szCs w:val="22"/>
          <w:lang w:eastAsia="zh-CN"/>
        </w:rPr>
      </w:pPr>
    </w:p>
    <w:p w14:paraId="02957C46">
      <w:pPr>
        <w:pStyle w:val="3"/>
        <w:tabs>
          <w:tab w:val="left" w:pos="979"/>
          <w:tab w:val="left" w:pos="1399"/>
          <w:tab w:val="left" w:pos="2779"/>
        </w:tabs>
        <w:spacing w:before="166" w:line="360" w:lineRule="auto"/>
        <w:jc w:val="both"/>
        <w:rPr>
          <w:rFonts w:ascii="Times New Roman" w:hAnsi="Times New Roman"/>
          <w:b/>
          <w:bCs/>
          <w:sz w:val="24"/>
          <w:szCs w:val="24"/>
          <w:lang w:eastAsia="zh-CN"/>
        </w:rPr>
      </w:pPr>
      <w:r>
        <w:rPr>
          <w:rFonts w:hint="eastAsia" w:ascii="Times New Roman" w:hAnsi="Times New Roman"/>
          <w:b/>
          <w:bCs/>
          <w:sz w:val="24"/>
          <w:szCs w:val="24"/>
          <w:lang w:eastAsia="zh-CN"/>
        </w:rPr>
        <w:t>I. About Capek Prize:</w:t>
      </w:r>
    </w:p>
    <w:p w14:paraId="55083DB1">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The Capek Prize, sponsored by the Capek Prize Committee and named after Karel Capek, the great Czech science fiction writer and coiner of the term "robot", was established in 2014 and has been successfully held for eleven consecutive years, attracting significant attention and acclaim from the industry. It rewards organizations and individuals who have made contributions in the field of robotics, striving to be a witness to the development of the robotics industry and aiming to create a "Nobel Prize" for the robotics industry. The establishment of this award aims to benchmark leading enterprises with strategic vision in the robotics industry, enhancing the overall image of corporate brands; to promote exemplary enterprises with innovative capabilities in the industry, driving the overall innovation capability of the industry; and to honor individuals who actively contribute to the development of the industry, acknowledging their contributions to the industry's progress. Today, the Capek Prize has become a pivotal award in the field of robotics, playing a significant role in promoting the healthy and sustainable development of the robotics industry, as well as reviewing and recording the impact of the robotics industry on manufacturing and human lifestyles.</w:t>
      </w:r>
    </w:p>
    <w:p w14:paraId="5B50479E">
      <w:pPr>
        <w:pStyle w:val="3"/>
        <w:tabs>
          <w:tab w:val="left" w:pos="979"/>
          <w:tab w:val="left" w:pos="1399"/>
          <w:tab w:val="left" w:pos="2779"/>
        </w:tabs>
        <w:spacing w:before="166" w:line="360" w:lineRule="auto"/>
        <w:jc w:val="both"/>
        <w:rPr>
          <w:rFonts w:ascii="Times New Roman" w:hAnsi="Times New Roman"/>
          <w:sz w:val="22"/>
          <w:szCs w:val="22"/>
          <w:lang w:eastAsia="zh-CN"/>
        </w:rPr>
      </w:pPr>
    </w:p>
    <w:p w14:paraId="54D4BA5D">
      <w:pPr>
        <w:pStyle w:val="3"/>
        <w:tabs>
          <w:tab w:val="left" w:pos="979"/>
          <w:tab w:val="left" w:pos="1399"/>
          <w:tab w:val="left" w:pos="2779"/>
        </w:tabs>
        <w:spacing w:before="166" w:line="360" w:lineRule="auto"/>
        <w:jc w:val="both"/>
        <w:rPr>
          <w:rFonts w:ascii="Times New Roman" w:hAnsi="Times New Roman"/>
          <w:b/>
          <w:bCs/>
          <w:sz w:val="24"/>
          <w:szCs w:val="24"/>
          <w:lang w:eastAsia="zh-CN"/>
        </w:rPr>
      </w:pPr>
      <w:r>
        <w:rPr>
          <w:rFonts w:hint="eastAsia" w:ascii="Times New Roman" w:hAnsi="Times New Roman"/>
          <w:b/>
          <w:bCs/>
          <w:sz w:val="24"/>
          <w:szCs w:val="24"/>
          <w:lang w:eastAsia="zh-CN"/>
        </w:rPr>
        <w:t>II. Applicants:</w:t>
      </w:r>
    </w:p>
    <w:p w14:paraId="01B63EA7">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1. Targeted at enterprises, institutions, and individuals engaged in robot-related business activities, including robot body manufacturers, core component enterprises, system integration enterprises, universities, and related organizations.</w:t>
      </w:r>
    </w:p>
    <w:p w14:paraId="752EC27C">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2. Products that meet the classification of this year's award categories, are sold within China or have the ability to be launched on the market and are planned to be sold in China; the registered location of the brand of the participating products is not limited, and registration in the name of a branch registered within China is accepted.</w:t>
      </w:r>
    </w:p>
    <w:p w14:paraId="69D4E6E4">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3. Integrated application projects that have been accepted this year and are operating stably; the main business of the applicant is to provide comprehensive system integration solutions for industrial robot automation and intelligence.</w:t>
      </w:r>
    </w:p>
    <w:p w14:paraId="2B58D3AD">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4. Establish vocational and undergraduate colleges and universities specializing in robotics and related fields.</w:t>
      </w:r>
    </w:p>
    <w:p w14:paraId="296FABDA">
      <w:pPr>
        <w:pStyle w:val="3"/>
        <w:tabs>
          <w:tab w:val="left" w:pos="979"/>
          <w:tab w:val="left" w:pos="1399"/>
          <w:tab w:val="left" w:pos="2779"/>
        </w:tabs>
        <w:spacing w:before="166" w:line="360" w:lineRule="auto"/>
        <w:jc w:val="both"/>
        <w:rPr>
          <w:rFonts w:ascii="Times New Roman" w:hAnsi="Times New Roman"/>
          <w:sz w:val="22"/>
          <w:szCs w:val="22"/>
          <w:lang w:eastAsia="zh-CN"/>
        </w:rPr>
      </w:pPr>
    </w:p>
    <w:p w14:paraId="13C0E488">
      <w:pPr>
        <w:pStyle w:val="3"/>
        <w:tabs>
          <w:tab w:val="left" w:pos="979"/>
          <w:tab w:val="left" w:pos="1399"/>
          <w:tab w:val="left" w:pos="2779"/>
        </w:tabs>
        <w:spacing w:before="166" w:line="360" w:lineRule="auto"/>
        <w:jc w:val="both"/>
        <w:rPr>
          <w:rFonts w:ascii="Times New Roman" w:hAnsi="Times New Roman"/>
          <w:b/>
          <w:bCs/>
          <w:sz w:val="24"/>
          <w:szCs w:val="24"/>
          <w:lang w:eastAsia="zh-CN"/>
        </w:rPr>
      </w:pPr>
      <w:r>
        <w:rPr>
          <w:rFonts w:hint="eastAsia" w:ascii="Times New Roman" w:hAnsi="Times New Roman"/>
          <w:b/>
          <w:bCs/>
          <w:sz w:val="24"/>
          <w:szCs w:val="24"/>
          <w:lang w:eastAsia="zh-CN"/>
        </w:rPr>
        <w:t>III. Award Settings and Descriptions:</w:t>
      </w:r>
    </w:p>
    <w:p w14:paraId="6CD9431B">
      <w:pPr>
        <w:pStyle w:val="3"/>
        <w:tabs>
          <w:tab w:val="left" w:pos="979"/>
          <w:tab w:val="left" w:pos="1399"/>
          <w:tab w:val="left" w:pos="2779"/>
        </w:tabs>
        <w:spacing w:before="166" w:line="360" w:lineRule="auto"/>
        <w:jc w:val="both"/>
        <w:rPr>
          <w:rFonts w:ascii="Times New Roman" w:hAnsi="Times New Roman"/>
          <w:b/>
          <w:bCs/>
          <w:sz w:val="22"/>
          <w:szCs w:val="22"/>
          <w:lang w:eastAsia="zh-CN"/>
        </w:rPr>
      </w:pPr>
      <w:r>
        <w:rPr>
          <w:rFonts w:hint="eastAsia" w:ascii="Times New Roman" w:hAnsi="Times New Roman"/>
          <w:sz w:val="22"/>
          <w:szCs w:val="22"/>
          <w:lang w:eastAsia="zh-CN"/>
        </w:rPr>
        <w:t xml:space="preserve"> </w:t>
      </w:r>
      <w:r>
        <w:rPr>
          <w:rFonts w:hint="eastAsia" w:ascii="Times New Roman" w:hAnsi="Times New Roman"/>
          <w:b/>
          <w:bCs/>
          <w:sz w:val="22"/>
          <w:szCs w:val="22"/>
          <w:lang w:eastAsia="zh-CN"/>
        </w:rPr>
        <w:t>(I) Brand Awards:</w:t>
      </w:r>
    </w:p>
    <w:p w14:paraId="1A4A6875">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 xml:space="preserve">Four major awards are set up, namely, </w:t>
      </w:r>
      <w:r>
        <w:rPr>
          <w:rFonts w:ascii="Times New Roman" w:hAnsi="Times New Roman"/>
          <w:sz w:val="22"/>
          <w:szCs w:val="22"/>
          <w:lang w:eastAsia="zh-CN"/>
        </w:rPr>
        <w:tab/>
      </w:r>
      <w:r>
        <w:rPr>
          <w:rFonts w:hint="eastAsia" w:ascii="Times New Roman" w:hAnsi="Times New Roman"/>
          <w:sz w:val="22"/>
          <w:szCs w:val="22"/>
          <w:lang w:eastAsia="zh-CN"/>
        </w:rPr>
        <w:t>Outstanding Brand of the Year, Value Brand of the Year, Innovative Brand of the Year, and Emerging Brand of the Year, covering industries from 10 sub-sectors, including robots, Collaborative Robots (Cobots), Special-Purpose Robots, Mobile Robots, Service Robots, artificial intelligence, Humanoid Robots, Embodied Intelligence, Components, and Systems Integrators</w:t>
      </w:r>
      <w:r>
        <w:rPr>
          <w:rFonts w:ascii="Times New Roman" w:hAnsi="Times New Roman"/>
          <w:sz w:val="22"/>
          <w:szCs w:val="22"/>
          <w:lang w:eastAsia="zh-CN"/>
        </w:rPr>
        <w:t>. For</w:t>
      </w:r>
      <w:r>
        <w:rPr>
          <w:rFonts w:hint="eastAsia" w:ascii="Times New Roman" w:hAnsi="Times New Roman"/>
          <w:sz w:val="22"/>
          <w:szCs w:val="22"/>
          <w:lang w:eastAsia="zh-CN"/>
        </w:rPr>
        <w:t xml:space="preserve"> details, refer to the application form Annex 1.</w:t>
      </w:r>
    </w:p>
    <w:p w14:paraId="665C2D86">
      <w:pPr>
        <w:pStyle w:val="3"/>
        <w:tabs>
          <w:tab w:val="left" w:pos="979"/>
          <w:tab w:val="left" w:pos="1399"/>
          <w:tab w:val="left" w:pos="2779"/>
        </w:tabs>
        <w:spacing w:before="166" w:line="360" w:lineRule="auto"/>
        <w:jc w:val="both"/>
        <w:rPr>
          <w:rFonts w:ascii="Times New Roman" w:hAnsi="Times New Roman"/>
          <w:b/>
          <w:bCs/>
          <w:sz w:val="22"/>
          <w:szCs w:val="22"/>
          <w:lang w:eastAsia="zh-CN"/>
        </w:rPr>
      </w:pPr>
      <w:r>
        <w:rPr>
          <w:rFonts w:hint="eastAsia" w:ascii="Times New Roman" w:hAnsi="Times New Roman"/>
          <w:b/>
          <w:bCs/>
          <w:sz w:val="22"/>
          <w:szCs w:val="22"/>
          <w:lang w:eastAsia="zh-CN"/>
        </w:rPr>
        <w:t xml:space="preserve"> (II) Product Awards:</w:t>
      </w:r>
    </w:p>
    <w:p w14:paraId="1671E61B">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There are three major awards: the Technology Innovation Product Award of the Year, the Industrial Design Product Award of the Year, and the Best Quality Product Award of the Year. The selection of 9 sub-areas, including Industrial Robots, Collaborative Robots (Cobots), Special-Purpose Robots, Mobile Robots, Service Robots, Humanoid Robots, Embodied Intelligence, and Components</w:t>
      </w:r>
      <w:r>
        <w:rPr>
          <w:rFonts w:ascii="Times New Roman" w:hAnsi="Times New Roman"/>
          <w:sz w:val="22"/>
          <w:szCs w:val="22"/>
          <w:lang w:eastAsia="zh-CN"/>
        </w:rPr>
        <w:t>.</w:t>
      </w:r>
      <w:r>
        <w:rPr>
          <w:rFonts w:hint="eastAsia" w:ascii="Times New Roman" w:hAnsi="Times New Roman"/>
          <w:sz w:val="22"/>
          <w:szCs w:val="22"/>
          <w:lang w:eastAsia="zh-CN"/>
        </w:rPr>
        <w:t xml:space="preserve"> For complete criteria and requirements, see Annex </w:t>
      </w:r>
      <w:r>
        <w:rPr>
          <w:rFonts w:ascii="Times New Roman" w:hAnsi="Times New Roman"/>
          <w:sz w:val="22"/>
          <w:szCs w:val="22"/>
          <w:lang w:eastAsia="zh-CN"/>
        </w:rPr>
        <w:t>2.</w:t>
      </w:r>
    </w:p>
    <w:p w14:paraId="03AC39DE">
      <w:pPr>
        <w:pStyle w:val="3"/>
        <w:tabs>
          <w:tab w:val="left" w:pos="979"/>
          <w:tab w:val="left" w:pos="1399"/>
          <w:tab w:val="left" w:pos="2779"/>
        </w:tabs>
        <w:spacing w:before="166" w:line="360" w:lineRule="auto"/>
        <w:jc w:val="both"/>
        <w:rPr>
          <w:rFonts w:ascii="Times New Roman" w:hAnsi="Times New Roman"/>
          <w:b/>
          <w:bCs/>
          <w:sz w:val="22"/>
          <w:szCs w:val="22"/>
          <w:lang w:eastAsia="zh-CN"/>
        </w:rPr>
      </w:pPr>
      <w:r>
        <w:rPr>
          <w:rFonts w:hint="eastAsia" w:ascii="Times New Roman" w:hAnsi="Times New Roman"/>
          <w:b/>
          <w:bCs/>
          <w:sz w:val="22"/>
          <w:szCs w:val="22"/>
          <w:lang w:eastAsia="zh-CN"/>
        </w:rPr>
        <w:t>(III) Application Scenario Awards:</w:t>
      </w:r>
    </w:p>
    <w:p w14:paraId="7E55A2DD">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There are three major awards: Outstanding Application Scenario of the Year, Demonstration Application Scenario of the Year, and Innovative Application Scenario of the Year. These awards are selected from seven sub-sectors: automotive, 3C electronics, home services, business services, safety and emergency response, general industry, and service industry. For complete criteria and requirements, see Annex 3.</w:t>
      </w:r>
    </w:p>
    <w:p w14:paraId="058C750F">
      <w:pPr>
        <w:pStyle w:val="3"/>
        <w:tabs>
          <w:tab w:val="left" w:pos="979"/>
          <w:tab w:val="left" w:pos="1399"/>
          <w:tab w:val="left" w:pos="2779"/>
        </w:tabs>
        <w:spacing w:before="166" w:line="360" w:lineRule="auto"/>
        <w:jc w:val="both"/>
        <w:rPr>
          <w:rFonts w:ascii="Times New Roman" w:hAnsi="Times New Roman"/>
          <w:b/>
          <w:bCs/>
          <w:sz w:val="22"/>
          <w:szCs w:val="22"/>
          <w:lang w:eastAsia="zh-CN"/>
        </w:rPr>
      </w:pPr>
      <w:r>
        <w:rPr>
          <w:rFonts w:hint="eastAsia" w:ascii="Times New Roman" w:hAnsi="Times New Roman"/>
          <w:sz w:val="22"/>
          <w:szCs w:val="22"/>
          <w:lang w:eastAsia="zh-CN"/>
        </w:rPr>
        <w:t xml:space="preserve"> </w:t>
      </w:r>
      <w:r>
        <w:rPr>
          <w:rFonts w:hint="eastAsia" w:ascii="Times New Roman" w:hAnsi="Times New Roman"/>
          <w:b/>
          <w:bCs/>
          <w:sz w:val="22"/>
          <w:szCs w:val="22"/>
          <w:lang w:eastAsia="zh-CN"/>
        </w:rPr>
        <w:t>(IV) Individual Awards:</w:t>
      </w:r>
    </w:p>
    <w:p w14:paraId="095114BD">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 xml:space="preserve">Eight major awards are set up, including the Outstanding Scholar of the Year Award, the Outstanding Young Scholar of the Year Award, the Outstanding Entrepreneur of the Year Award, the Emerging Entrepreneur of the Year Award, the Outstanding Manager of the Year Award, the Excellent Manager of the Year Award, the Outstanding Engineer of the Year Award, and the Excellent Engineer of the Year Award. Scholars, entrepreneurs, managers, and engineers are eligible to apply for and be selected for these awards. For complete criteria and requirements, see Annex </w:t>
      </w:r>
      <w:r>
        <w:rPr>
          <w:rFonts w:ascii="Times New Roman" w:hAnsi="Times New Roman"/>
          <w:sz w:val="22"/>
          <w:szCs w:val="22"/>
          <w:lang w:eastAsia="zh-CN"/>
        </w:rPr>
        <w:t>4</w:t>
      </w:r>
      <w:r>
        <w:rPr>
          <w:rFonts w:hint="eastAsia" w:ascii="Times New Roman" w:hAnsi="Times New Roman"/>
          <w:sz w:val="22"/>
          <w:szCs w:val="22"/>
          <w:lang w:eastAsia="zh-CN"/>
        </w:rPr>
        <w:t>.</w:t>
      </w:r>
    </w:p>
    <w:p w14:paraId="505C69CD">
      <w:pPr>
        <w:pStyle w:val="3"/>
        <w:tabs>
          <w:tab w:val="left" w:pos="979"/>
          <w:tab w:val="left" w:pos="1399"/>
          <w:tab w:val="left" w:pos="2779"/>
        </w:tabs>
        <w:spacing w:before="166" w:line="360" w:lineRule="auto"/>
        <w:jc w:val="both"/>
        <w:rPr>
          <w:rFonts w:ascii="Times New Roman" w:hAnsi="Times New Roman"/>
          <w:b/>
          <w:bCs/>
          <w:sz w:val="22"/>
          <w:szCs w:val="22"/>
          <w:lang w:eastAsia="zh-CN"/>
        </w:rPr>
      </w:pPr>
      <w:r>
        <w:rPr>
          <w:rFonts w:hint="eastAsia" w:ascii="Times New Roman" w:hAnsi="Times New Roman"/>
          <w:b/>
          <w:bCs/>
          <w:sz w:val="22"/>
          <w:szCs w:val="22"/>
          <w:lang w:eastAsia="zh-CN"/>
        </w:rPr>
        <w:t>(V)  Industry-Academia Integration Award:</w:t>
      </w:r>
    </w:p>
    <w:p w14:paraId="1D6A302C">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For higher vocational and undergraduate colleges and universities offering robotics and related majors, please refer to the application form Annex 5</w:t>
      </w:r>
      <w:r>
        <w:rPr>
          <w:rFonts w:ascii="Times New Roman" w:hAnsi="Times New Roman"/>
          <w:sz w:val="22"/>
          <w:szCs w:val="22"/>
          <w:lang w:eastAsia="zh-CN"/>
        </w:rPr>
        <w:t xml:space="preserve"> </w:t>
      </w:r>
      <w:r>
        <w:rPr>
          <w:rFonts w:hint="eastAsia" w:ascii="Times New Roman" w:hAnsi="Times New Roman"/>
          <w:sz w:val="22"/>
          <w:szCs w:val="22"/>
          <w:lang w:eastAsia="zh-CN"/>
        </w:rPr>
        <w:t>for specific details.</w:t>
      </w:r>
    </w:p>
    <w:p w14:paraId="13CE4D24">
      <w:pPr>
        <w:pStyle w:val="3"/>
        <w:tabs>
          <w:tab w:val="left" w:pos="979"/>
          <w:tab w:val="left" w:pos="1399"/>
          <w:tab w:val="left" w:pos="2779"/>
        </w:tabs>
        <w:spacing w:before="166" w:line="360" w:lineRule="auto"/>
        <w:jc w:val="both"/>
        <w:rPr>
          <w:rFonts w:ascii="Times New Roman" w:hAnsi="Times New Roman"/>
          <w:sz w:val="22"/>
          <w:szCs w:val="22"/>
          <w:lang w:eastAsia="zh-CN"/>
        </w:rPr>
      </w:pPr>
    </w:p>
    <w:p w14:paraId="1782EB38">
      <w:pPr>
        <w:pStyle w:val="3"/>
        <w:tabs>
          <w:tab w:val="left" w:pos="979"/>
          <w:tab w:val="left" w:pos="1399"/>
          <w:tab w:val="left" w:pos="2779"/>
        </w:tabs>
        <w:spacing w:before="166" w:line="360" w:lineRule="auto"/>
        <w:jc w:val="both"/>
        <w:rPr>
          <w:rFonts w:ascii="Times New Roman" w:hAnsi="Times New Roman"/>
          <w:b/>
          <w:bCs/>
          <w:sz w:val="24"/>
          <w:szCs w:val="24"/>
          <w:lang w:eastAsia="zh-CN"/>
        </w:rPr>
      </w:pPr>
      <w:r>
        <w:rPr>
          <w:rFonts w:hint="eastAsia" w:ascii="Times New Roman" w:hAnsi="Times New Roman"/>
          <w:b/>
          <w:bCs/>
          <w:sz w:val="24"/>
          <w:szCs w:val="24"/>
          <w:lang w:eastAsia="zh-CN"/>
        </w:rPr>
        <w:t xml:space="preserve"> IV. Selection Process:</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61"/>
        <w:gridCol w:w="6765"/>
      </w:tblGrid>
      <w:tr w14:paraId="6615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1" w:type="dxa"/>
          </w:tcPr>
          <w:p w14:paraId="6CD9D64D">
            <w:pPr>
              <w:pStyle w:val="3"/>
              <w:tabs>
                <w:tab w:val="left" w:pos="979"/>
                <w:tab w:val="left" w:pos="1399"/>
                <w:tab w:val="left" w:pos="2779"/>
              </w:tabs>
              <w:spacing w:before="166" w:line="360" w:lineRule="auto"/>
              <w:jc w:val="center"/>
              <w:rPr>
                <w:rFonts w:ascii="Times New Roman" w:hAnsi="Times New Roman"/>
                <w:sz w:val="22"/>
                <w:szCs w:val="22"/>
                <w:lang w:eastAsia="zh-CN"/>
              </w:rPr>
            </w:pPr>
            <w:r>
              <w:rPr>
                <w:rFonts w:hint="eastAsia" w:ascii="Times New Roman" w:hAnsi="Times New Roman"/>
                <w:b/>
                <w:bCs/>
                <w:sz w:val="24"/>
                <w:szCs w:val="24"/>
                <w:lang w:eastAsia="zh-CN"/>
              </w:rPr>
              <w:t>Time</w:t>
            </w:r>
          </w:p>
        </w:tc>
        <w:tc>
          <w:tcPr>
            <w:tcW w:w="6765" w:type="dxa"/>
          </w:tcPr>
          <w:p w14:paraId="1DF83F5F">
            <w:pPr>
              <w:pStyle w:val="3"/>
              <w:tabs>
                <w:tab w:val="left" w:pos="979"/>
                <w:tab w:val="left" w:pos="1399"/>
                <w:tab w:val="left" w:pos="2779"/>
              </w:tabs>
              <w:spacing w:before="166" w:line="360" w:lineRule="auto"/>
              <w:jc w:val="center"/>
              <w:rPr>
                <w:rFonts w:ascii="Times New Roman" w:hAnsi="Times New Roman"/>
                <w:sz w:val="22"/>
                <w:szCs w:val="22"/>
                <w:lang w:eastAsia="zh-CN"/>
              </w:rPr>
            </w:pPr>
            <w:r>
              <w:rPr>
                <w:rFonts w:hint="eastAsia" w:ascii="Times New Roman" w:hAnsi="Times New Roman"/>
                <w:b/>
                <w:bCs/>
                <w:sz w:val="24"/>
                <w:szCs w:val="24"/>
                <w:lang w:eastAsia="zh-CN"/>
              </w:rPr>
              <w:t>Process flow</w:t>
            </w:r>
          </w:p>
        </w:tc>
      </w:tr>
      <w:tr w14:paraId="1963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1" w:type="dxa"/>
          </w:tcPr>
          <w:p w14:paraId="291B3B82">
            <w:pPr>
              <w:pStyle w:val="3"/>
              <w:tabs>
                <w:tab w:val="left" w:pos="979"/>
                <w:tab w:val="left" w:pos="1399"/>
                <w:tab w:val="left" w:pos="2779"/>
              </w:tabs>
              <w:spacing w:before="166" w:line="360" w:lineRule="auto"/>
              <w:jc w:val="center"/>
              <w:rPr>
                <w:rFonts w:ascii="Times New Roman" w:hAnsi="Times New Roman"/>
                <w:sz w:val="22"/>
                <w:szCs w:val="22"/>
                <w:lang w:eastAsia="zh-CN"/>
              </w:rPr>
            </w:pPr>
            <w:r>
              <w:rPr>
                <w:rFonts w:hint="eastAsia" w:ascii="Times New Roman" w:hAnsi="Times New Roman"/>
                <w:sz w:val="22"/>
                <w:szCs w:val="22"/>
                <w:lang w:eastAsia="zh-CN"/>
              </w:rPr>
              <w:t>2026.01.0</w:t>
            </w:r>
            <w:r>
              <w:rPr>
                <w:rFonts w:hint="eastAsia" w:ascii="Times New Roman" w:hAnsi="Times New Roman"/>
                <w:sz w:val="22"/>
                <w:szCs w:val="22"/>
                <w:lang w:val="en-US" w:eastAsia="zh-CN"/>
              </w:rPr>
              <w:t>5</w:t>
            </w:r>
            <w:bookmarkStart w:id="0" w:name="_GoBack"/>
            <w:bookmarkEnd w:id="0"/>
            <w:r>
              <w:rPr>
                <w:rFonts w:hint="eastAsia" w:ascii="Times New Roman" w:hAnsi="Times New Roman"/>
                <w:sz w:val="22"/>
                <w:szCs w:val="22"/>
                <w:lang w:eastAsia="zh-CN"/>
              </w:rPr>
              <w:t>-03.15</w:t>
            </w:r>
          </w:p>
        </w:tc>
        <w:tc>
          <w:tcPr>
            <w:tcW w:w="6765" w:type="dxa"/>
          </w:tcPr>
          <w:p w14:paraId="468C8103">
            <w:pPr>
              <w:pStyle w:val="3"/>
              <w:tabs>
                <w:tab w:val="left" w:pos="979"/>
                <w:tab w:val="left" w:pos="1399"/>
                <w:tab w:val="left" w:pos="2779"/>
              </w:tabs>
              <w:spacing w:before="166" w:line="360" w:lineRule="auto"/>
              <w:jc w:val="center"/>
              <w:rPr>
                <w:rFonts w:ascii="Times New Roman" w:hAnsi="Times New Roman"/>
                <w:sz w:val="22"/>
                <w:szCs w:val="22"/>
                <w:lang w:eastAsia="zh-CN"/>
              </w:rPr>
            </w:pPr>
            <w:r>
              <w:rPr>
                <w:rFonts w:hint="eastAsia" w:ascii="Times New Roman" w:hAnsi="Times New Roman"/>
                <w:sz w:val="22"/>
                <w:szCs w:val="22"/>
                <w:lang w:eastAsia="zh-CN"/>
              </w:rPr>
              <w:t xml:space="preserve">Prize </w:t>
            </w:r>
            <w:r>
              <w:rPr>
                <w:rFonts w:ascii="Times New Roman" w:hAnsi="Times New Roman"/>
                <w:sz w:val="22"/>
                <w:szCs w:val="22"/>
                <w:lang w:eastAsia="zh-CN"/>
              </w:rPr>
              <w:t>application</w:t>
            </w:r>
          </w:p>
        </w:tc>
      </w:tr>
      <w:tr w14:paraId="7BA9D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1" w:type="dxa"/>
          </w:tcPr>
          <w:p w14:paraId="192780FE">
            <w:pPr>
              <w:pStyle w:val="3"/>
              <w:tabs>
                <w:tab w:val="left" w:pos="979"/>
                <w:tab w:val="left" w:pos="1399"/>
                <w:tab w:val="left" w:pos="2779"/>
              </w:tabs>
              <w:spacing w:before="166" w:line="360" w:lineRule="auto"/>
              <w:jc w:val="center"/>
              <w:rPr>
                <w:rFonts w:ascii="Times New Roman" w:hAnsi="Times New Roman"/>
                <w:sz w:val="22"/>
                <w:szCs w:val="22"/>
                <w:lang w:eastAsia="zh-CN"/>
              </w:rPr>
            </w:pPr>
            <w:r>
              <w:rPr>
                <w:rFonts w:hint="eastAsia" w:ascii="Times New Roman" w:hAnsi="Times New Roman"/>
                <w:sz w:val="22"/>
                <w:szCs w:val="22"/>
                <w:lang w:eastAsia="zh-CN"/>
              </w:rPr>
              <w:t>2026.03.15-03.20</w:t>
            </w:r>
          </w:p>
        </w:tc>
        <w:tc>
          <w:tcPr>
            <w:tcW w:w="6765" w:type="dxa"/>
          </w:tcPr>
          <w:p w14:paraId="69D901F5">
            <w:pPr>
              <w:pStyle w:val="3"/>
              <w:tabs>
                <w:tab w:val="left" w:pos="979"/>
                <w:tab w:val="left" w:pos="1399"/>
                <w:tab w:val="left" w:pos="2779"/>
              </w:tabs>
              <w:spacing w:before="166" w:line="360" w:lineRule="auto"/>
              <w:jc w:val="center"/>
              <w:rPr>
                <w:rFonts w:ascii="Times New Roman" w:hAnsi="Times New Roman"/>
                <w:sz w:val="22"/>
                <w:szCs w:val="22"/>
                <w:lang w:eastAsia="zh-CN"/>
              </w:rPr>
            </w:pPr>
            <w:r>
              <w:rPr>
                <w:rFonts w:hint="eastAsia" w:ascii="Times New Roman" w:hAnsi="Times New Roman"/>
                <w:sz w:val="22"/>
                <w:szCs w:val="22"/>
                <w:lang w:eastAsia="zh-CN"/>
              </w:rPr>
              <w:t>Online publicity of the shortlisted enterprises</w:t>
            </w:r>
          </w:p>
        </w:tc>
      </w:tr>
      <w:tr w14:paraId="244E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1" w:type="dxa"/>
          </w:tcPr>
          <w:p w14:paraId="41D39D15">
            <w:pPr>
              <w:pStyle w:val="3"/>
              <w:tabs>
                <w:tab w:val="left" w:pos="979"/>
                <w:tab w:val="left" w:pos="1399"/>
                <w:tab w:val="left" w:pos="2779"/>
              </w:tabs>
              <w:spacing w:before="166" w:line="360" w:lineRule="auto"/>
              <w:jc w:val="center"/>
              <w:rPr>
                <w:rFonts w:ascii="Times New Roman" w:hAnsi="Times New Roman"/>
                <w:sz w:val="22"/>
                <w:szCs w:val="22"/>
                <w:lang w:eastAsia="zh-CN"/>
              </w:rPr>
            </w:pPr>
            <w:r>
              <w:rPr>
                <w:rFonts w:hint="eastAsia" w:ascii="Times New Roman" w:hAnsi="Times New Roman"/>
                <w:sz w:val="22"/>
                <w:szCs w:val="22"/>
                <w:lang w:eastAsia="zh-CN"/>
              </w:rPr>
              <w:t>2026.03.20-04.15</w:t>
            </w:r>
          </w:p>
        </w:tc>
        <w:tc>
          <w:tcPr>
            <w:tcW w:w="6765" w:type="dxa"/>
          </w:tcPr>
          <w:p w14:paraId="486C2E8A">
            <w:pPr>
              <w:pStyle w:val="3"/>
              <w:tabs>
                <w:tab w:val="left" w:pos="979"/>
                <w:tab w:val="left" w:pos="1399"/>
                <w:tab w:val="left" w:pos="2779"/>
              </w:tabs>
              <w:spacing w:before="166" w:line="360" w:lineRule="auto"/>
              <w:jc w:val="center"/>
              <w:rPr>
                <w:rFonts w:ascii="Times New Roman" w:hAnsi="Times New Roman"/>
                <w:sz w:val="22"/>
                <w:szCs w:val="22"/>
                <w:lang w:eastAsia="zh-CN"/>
              </w:rPr>
            </w:pPr>
            <w:r>
              <w:rPr>
                <w:rFonts w:hint="eastAsia" w:ascii="Times New Roman" w:hAnsi="Times New Roman"/>
                <w:sz w:val="22"/>
                <w:szCs w:val="22"/>
                <w:lang w:eastAsia="zh-CN"/>
              </w:rPr>
              <w:t>Jury evaluation and review</w:t>
            </w:r>
          </w:p>
        </w:tc>
      </w:tr>
      <w:tr w14:paraId="1A36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1" w:type="dxa"/>
          </w:tcPr>
          <w:p w14:paraId="4661605B">
            <w:pPr>
              <w:pStyle w:val="3"/>
              <w:tabs>
                <w:tab w:val="left" w:pos="979"/>
                <w:tab w:val="left" w:pos="1399"/>
                <w:tab w:val="left" w:pos="2779"/>
              </w:tabs>
              <w:spacing w:before="166" w:line="360" w:lineRule="auto"/>
              <w:jc w:val="center"/>
              <w:rPr>
                <w:rFonts w:ascii="Times New Roman" w:hAnsi="Times New Roman"/>
                <w:sz w:val="22"/>
                <w:szCs w:val="22"/>
                <w:lang w:eastAsia="zh-CN"/>
              </w:rPr>
            </w:pPr>
            <w:r>
              <w:rPr>
                <w:rFonts w:hint="eastAsia" w:ascii="Times New Roman" w:hAnsi="Times New Roman"/>
                <w:sz w:val="22"/>
                <w:szCs w:val="22"/>
                <w:lang w:eastAsia="zh-CN"/>
              </w:rPr>
              <w:t>2026.05</w:t>
            </w:r>
          </w:p>
        </w:tc>
        <w:tc>
          <w:tcPr>
            <w:tcW w:w="6765" w:type="dxa"/>
          </w:tcPr>
          <w:p w14:paraId="31876148">
            <w:pPr>
              <w:pStyle w:val="3"/>
              <w:tabs>
                <w:tab w:val="left" w:pos="979"/>
                <w:tab w:val="left" w:pos="1399"/>
                <w:tab w:val="left" w:pos="2779"/>
              </w:tabs>
              <w:spacing w:before="166" w:line="360" w:lineRule="auto"/>
              <w:jc w:val="center"/>
              <w:rPr>
                <w:rFonts w:ascii="Times New Roman" w:hAnsi="Times New Roman"/>
                <w:sz w:val="22"/>
                <w:szCs w:val="22"/>
                <w:lang w:eastAsia="zh-CN"/>
              </w:rPr>
            </w:pPr>
            <w:r>
              <w:rPr>
                <w:rFonts w:hint="eastAsia" w:ascii="Times New Roman" w:hAnsi="Times New Roman"/>
                <w:sz w:val="22"/>
                <w:szCs w:val="22"/>
                <w:lang w:eastAsia="zh-CN"/>
              </w:rPr>
              <w:t>The 12th Capek Prize Ceremony</w:t>
            </w:r>
          </w:p>
        </w:tc>
      </w:tr>
      <w:tr w14:paraId="0E8CB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6" w:type="dxa"/>
            <w:gridSpan w:val="2"/>
          </w:tcPr>
          <w:p w14:paraId="7872912B">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Note: If the Prize ceremony must be postponed due to force majeure, the organizing committee will inform it separately.</w:t>
            </w:r>
          </w:p>
        </w:tc>
      </w:tr>
    </w:tbl>
    <w:p w14:paraId="013D80DD">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ab/>
      </w:r>
      <w:r>
        <w:rPr>
          <w:rFonts w:hint="eastAsia" w:ascii="Times New Roman" w:hAnsi="Times New Roman"/>
          <w:sz w:val="22"/>
          <w:szCs w:val="22"/>
          <w:lang w:eastAsia="zh-CN"/>
        </w:rPr>
        <w:t xml:space="preserve">             </w:t>
      </w:r>
    </w:p>
    <w:p w14:paraId="11BC5B4D">
      <w:pPr>
        <w:pStyle w:val="3"/>
        <w:tabs>
          <w:tab w:val="left" w:pos="979"/>
          <w:tab w:val="left" w:pos="1399"/>
          <w:tab w:val="left" w:pos="2779"/>
        </w:tabs>
        <w:spacing w:before="166" w:line="360" w:lineRule="auto"/>
        <w:jc w:val="both"/>
        <w:rPr>
          <w:rFonts w:ascii="Times New Roman" w:hAnsi="Times New Roman"/>
          <w:b/>
          <w:bCs/>
          <w:sz w:val="24"/>
          <w:szCs w:val="24"/>
          <w:lang w:eastAsia="zh-CN"/>
        </w:rPr>
      </w:pPr>
      <w:r>
        <w:rPr>
          <w:rFonts w:hint="eastAsia" w:ascii="Times New Roman" w:hAnsi="Times New Roman"/>
          <w:b/>
          <w:bCs/>
          <w:sz w:val="24"/>
          <w:szCs w:val="24"/>
          <w:lang w:eastAsia="zh-CN"/>
        </w:rPr>
        <w:t>V. Relevant requirements and instructions:</w:t>
      </w:r>
    </w:p>
    <w:p w14:paraId="532BDBCE">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Please fill in the application form carefully by the applicant organizations and individuals. After completing the form, please submit completed application form (Word format) and the enterprise logo (in AI, PS, CDR format source files), product introduction, personal high-definition portrait photo and other materials in a folder named with the organization</w:t>
      </w:r>
      <w:r>
        <w:rPr>
          <w:rFonts w:ascii="Times New Roman" w:hAnsi="Times New Roman"/>
          <w:sz w:val="22"/>
          <w:szCs w:val="22"/>
          <w:lang w:eastAsia="zh-CN"/>
        </w:rPr>
        <w:t>’</w:t>
      </w:r>
      <w:r>
        <w:rPr>
          <w:rFonts w:hint="eastAsia" w:ascii="Times New Roman" w:hAnsi="Times New Roman"/>
          <w:sz w:val="22"/>
          <w:szCs w:val="22"/>
          <w:lang w:eastAsia="zh-CN"/>
        </w:rPr>
        <w:t>s full name or individual</w:t>
      </w:r>
      <w:r>
        <w:rPr>
          <w:rFonts w:ascii="Times New Roman" w:hAnsi="Times New Roman"/>
          <w:sz w:val="22"/>
          <w:szCs w:val="22"/>
          <w:lang w:eastAsia="zh-CN"/>
        </w:rPr>
        <w:t>’</w:t>
      </w:r>
      <w:r>
        <w:rPr>
          <w:rFonts w:hint="eastAsia" w:ascii="Times New Roman" w:hAnsi="Times New Roman"/>
          <w:sz w:val="22"/>
          <w:szCs w:val="22"/>
          <w:lang w:eastAsia="zh-CN"/>
        </w:rPr>
        <w:t>s name, package and send it to the organizing committee's email:</w:t>
      </w:r>
      <w:r>
        <w:fldChar w:fldCharType="begin"/>
      </w:r>
      <w:r>
        <w:instrText xml:space="preserve"> HYPERLINK "mailto:capek@robot-china.com" \h </w:instrText>
      </w:r>
      <w:r>
        <w:fldChar w:fldCharType="separate"/>
      </w:r>
      <w:r>
        <w:rPr>
          <w:rFonts w:ascii="Times New Roman" w:hAnsi="Times New Roman" w:eastAsia="Calibri"/>
          <w:b/>
          <w:bCs/>
          <w:lang w:eastAsia="zh-CN"/>
        </w:rPr>
        <w:t>capek@robot-china.com</w:t>
      </w:r>
      <w:r>
        <w:rPr>
          <w:rFonts w:ascii="Times New Roman" w:hAnsi="Times New Roman" w:eastAsia="Calibri"/>
          <w:b/>
          <w:bCs/>
          <w:lang w:eastAsia="zh-CN"/>
        </w:rPr>
        <w:fldChar w:fldCharType="end"/>
      </w:r>
      <w:r>
        <w:rPr>
          <w:rFonts w:hint="eastAsia" w:ascii="Times New Roman" w:hAnsi="Times New Roman" w:eastAsia="Calibri"/>
          <w:lang w:eastAsia="zh-CN"/>
        </w:rPr>
        <w:t xml:space="preserve"> </w:t>
      </w:r>
      <w:r>
        <w:rPr>
          <w:rFonts w:hint="eastAsia" w:ascii="Times New Roman" w:hAnsi="Times New Roman"/>
          <w:sz w:val="22"/>
          <w:szCs w:val="22"/>
          <w:lang w:eastAsia="zh-CN"/>
        </w:rPr>
        <w:t>before March 15.</w:t>
      </w:r>
    </w:p>
    <w:p w14:paraId="7874FA85">
      <w:pPr>
        <w:pStyle w:val="3"/>
        <w:tabs>
          <w:tab w:val="left" w:pos="979"/>
          <w:tab w:val="left" w:pos="1399"/>
          <w:tab w:val="left" w:pos="2779"/>
        </w:tabs>
        <w:spacing w:before="166" w:line="360" w:lineRule="auto"/>
        <w:jc w:val="both"/>
        <w:rPr>
          <w:rFonts w:ascii="Times New Roman" w:hAnsi="Times New Roman"/>
          <w:sz w:val="22"/>
          <w:szCs w:val="22"/>
          <w:lang w:eastAsia="zh-CN"/>
        </w:rPr>
      </w:pPr>
    </w:p>
    <w:p w14:paraId="48923981">
      <w:pPr>
        <w:pStyle w:val="3"/>
        <w:tabs>
          <w:tab w:val="left" w:pos="979"/>
          <w:tab w:val="left" w:pos="1399"/>
          <w:tab w:val="left" w:pos="2779"/>
        </w:tabs>
        <w:spacing w:before="166" w:line="360" w:lineRule="auto"/>
        <w:jc w:val="both"/>
        <w:rPr>
          <w:rFonts w:ascii="Times New Roman" w:hAnsi="Times New Roman"/>
          <w:b/>
          <w:bCs/>
          <w:sz w:val="24"/>
          <w:szCs w:val="24"/>
          <w:lang w:eastAsia="zh-CN"/>
        </w:rPr>
      </w:pPr>
      <w:r>
        <w:rPr>
          <w:rFonts w:hint="eastAsia" w:ascii="Times New Roman" w:hAnsi="Times New Roman"/>
          <w:b/>
          <w:bCs/>
          <w:sz w:val="24"/>
          <w:szCs w:val="24"/>
          <w:lang w:eastAsia="zh-CN"/>
        </w:rPr>
        <w:t>VI. Fee Description</w:t>
      </w:r>
    </w:p>
    <w:p w14:paraId="2D0E03FA">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 xml:space="preserve">1. Fee standard: Application fee for the 12th Capek </w:t>
      </w:r>
      <w:r>
        <w:rPr>
          <w:rFonts w:ascii="Times New Roman" w:hAnsi="Times New Roman"/>
          <w:sz w:val="22"/>
          <w:szCs w:val="22"/>
          <w:lang w:eastAsia="zh-CN"/>
        </w:rPr>
        <w:t>Prize</w:t>
      </w:r>
      <w:r>
        <w:rPr>
          <w:rFonts w:hint="eastAsia" w:ascii="Times New Roman" w:hAnsi="Times New Roman"/>
          <w:sz w:val="22"/>
          <w:szCs w:val="22"/>
          <w:lang w:eastAsia="zh-CN"/>
        </w:rPr>
        <w:t xml:space="preserve"> is 3,000 RMB or 500 USD per applicant (one fee covers multiple </w:t>
      </w:r>
      <w:r>
        <w:rPr>
          <w:rFonts w:ascii="Times New Roman" w:hAnsi="Times New Roman"/>
          <w:sz w:val="22"/>
          <w:szCs w:val="22"/>
          <w:lang w:eastAsia="zh-CN"/>
        </w:rPr>
        <w:t>prize</w:t>
      </w:r>
      <w:r>
        <w:rPr>
          <w:rFonts w:hint="eastAsia" w:ascii="Times New Roman" w:hAnsi="Times New Roman"/>
          <w:sz w:val="22"/>
          <w:szCs w:val="22"/>
          <w:lang w:eastAsia="zh-CN"/>
        </w:rPr>
        <w:t xml:space="preserve"> applications from the same organization or individual)</w:t>
      </w:r>
    </w:p>
    <w:p w14:paraId="51A347C7">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2. Fee includes: 3 complimentary conference registrations</w:t>
      </w:r>
    </w:p>
    <w:p w14:paraId="60E0D444">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3. Additional note: Application fees are non-refundable except under exceptional circumstances.</w:t>
      </w:r>
    </w:p>
    <w:p w14:paraId="7EE6EA4B">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4. Payment Details:</w:t>
      </w:r>
    </w:p>
    <w:p w14:paraId="413D3C69">
      <w:pPr>
        <w:pStyle w:val="9"/>
        <w:tabs>
          <w:tab w:val="left" w:pos="980"/>
        </w:tabs>
        <w:spacing w:before="0" w:line="360" w:lineRule="auto"/>
        <w:ind w:left="0" w:firstLine="597" w:firstLineChars="300"/>
        <w:rPr>
          <w:rFonts w:ascii="Times New Roman" w:hAnsi="Times New Roman" w:eastAsia="Calibri" w:cs="Times New Roman"/>
          <w:w w:val="95"/>
          <w:sz w:val="21"/>
          <w:szCs w:val="21"/>
          <w:lang w:eastAsia="zh-CN"/>
        </w:rPr>
      </w:pPr>
      <w:r>
        <w:rPr>
          <w:rFonts w:ascii="Times New Roman" w:hAnsi="Times New Roman" w:eastAsia="Calibri" w:cs="Times New Roman"/>
          <w:w w:val="95"/>
          <w:sz w:val="21"/>
          <w:szCs w:val="21"/>
          <w:lang w:eastAsia="zh-CN"/>
        </w:rPr>
        <w:t>Beneficiary Name</w:t>
      </w:r>
      <w:r>
        <w:rPr>
          <w:rFonts w:hint="eastAsia" w:ascii="微软雅黑" w:hAnsi="微软雅黑" w:eastAsia="微软雅黑" w:cs="微软雅黑"/>
          <w:w w:val="95"/>
          <w:sz w:val="21"/>
          <w:szCs w:val="21"/>
          <w:lang w:eastAsia="zh-CN"/>
        </w:rPr>
        <w:t>：</w:t>
      </w:r>
      <w:r>
        <w:rPr>
          <w:rFonts w:ascii="Times New Roman" w:hAnsi="Times New Roman" w:eastAsia="Calibri" w:cs="Times New Roman"/>
          <w:w w:val="95"/>
          <w:sz w:val="21"/>
          <w:szCs w:val="21"/>
          <w:lang w:eastAsia="zh-CN"/>
        </w:rPr>
        <w:t xml:space="preserve">KAREL CAPEK </w:t>
      </w:r>
    </w:p>
    <w:p w14:paraId="25CD9339">
      <w:pPr>
        <w:pStyle w:val="9"/>
        <w:tabs>
          <w:tab w:val="left" w:pos="980"/>
        </w:tabs>
        <w:spacing w:before="0" w:line="360" w:lineRule="auto"/>
        <w:ind w:left="0" w:firstLine="597" w:firstLineChars="300"/>
        <w:rPr>
          <w:rFonts w:ascii="Times New Roman" w:hAnsi="Times New Roman" w:eastAsia="Calibri" w:cs="Times New Roman"/>
          <w:w w:val="95"/>
          <w:sz w:val="21"/>
          <w:szCs w:val="21"/>
          <w:lang w:eastAsia="zh-CN"/>
        </w:rPr>
      </w:pPr>
      <w:r>
        <w:rPr>
          <w:rFonts w:ascii="Times New Roman" w:hAnsi="Times New Roman" w:eastAsia="Calibri" w:cs="Times New Roman"/>
          <w:w w:val="95"/>
          <w:sz w:val="21"/>
          <w:szCs w:val="21"/>
          <w:lang w:eastAsia="zh-CN"/>
        </w:rPr>
        <w:t>Beneficiary Address</w:t>
      </w:r>
      <w:r>
        <w:rPr>
          <w:rFonts w:hint="eastAsia" w:ascii="微软雅黑" w:hAnsi="微软雅黑" w:eastAsia="微软雅黑" w:cs="微软雅黑"/>
          <w:w w:val="95"/>
          <w:sz w:val="21"/>
          <w:szCs w:val="21"/>
          <w:lang w:eastAsia="zh-CN"/>
        </w:rPr>
        <w:t>：</w:t>
      </w:r>
      <w:r>
        <w:rPr>
          <w:rFonts w:ascii="Times New Roman" w:hAnsi="Times New Roman" w:eastAsia="Calibri" w:cs="Times New Roman"/>
          <w:w w:val="95"/>
          <w:sz w:val="21"/>
          <w:szCs w:val="21"/>
          <w:lang w:eastAsia="zh-CN"/>
        </w:rPr>
        <w:t>1899 Concourse Dr, San Jose, CA 95131, United States</w:t>
      </w:r>
    </w:p>
    <w:p w14:paraId="29C66966">
      <w:pPr>
        <w:pStyle w:val="9"/>
        <w:tabs>
          <w:tab w:val="left" w:pos="980"/>
        </w:tabs>
        <w:spacing w:before="0" w:line="360" w:lineRule="auto"/>
        <w:ind w:left="0" w:firstLine="597" w:firstLineChars="300"/>
        <w:rPr>
          <w:rFonts w:ascii="Times New Roman" w:hAnsi="Times New Roman" w:eastAsia="Calibri" w:cs="Times New Roman"/>
          <w:w w:val="95"/>
          <w:sz w:val="21"/>
          <w:szCs w:val="21"/>
          <w:lang w:eastAsia="zh-CN"/>
        </w:rPr>
      </w:pPr>
      <w:r>
        <w:rPr>
          <w:rFonts w:ascii="Times New Roman" w:hAnsi="Times New Roman" w:eastAsia="Calibri" w:cs="Times New Roman"/>
          <w:w w:val="95"/>
          <w:sz w:val="21"/>
          <w:szCs w:val="21"/>
          <w:lang w:eastAsia="zh-CN"/>
        </w:rPr>
        <w:t>Beneficiary Account No.</w:t>
      </w:r>
      <w:r>
        <w:rPr>
          <w:rFonts w:hint="eastAsia" w:ascii="微软雅黑" w:hAnsi="微软雅黑" w:eastAsia="微软雅黑" w:cs="微软雅黑"/>
          <w:w w:val="95"/>
          <w:sz w:val="21"/>
          <w:szCs w:val="21"/>
          <w:lang w:eastAsia="zh-CN"/>
        </w:rPr>
        <w:t>：</w:t>
      </w:r>
      <w:r>
        <w:rPr>
          <w:rFonts w:ascii="Times New Roman" w:hAnsi="Times New Roman" w:eastAsia="Calibri" w:cs="Times New Roman"/>
          <w:w w:val="95"/>
          <w:sz w:val="21"/>
          <w:szCs w:val="21"/>
          <w:lang w:eastAsia="zh-CN"/>
        </w:rPr>
        <w:t>325207226980</w:t>
      </w:r>
    </w:p>
    <w:p w14:paraId="3E70BBA6">
      <w:pPr>
        <w:pStyle w:val="9"/>
        <w:tabs>
          <w:tab w:val="left" w:pos="980"/>
        </w:tabs>
        <w:spacing w:before="0" w:line="360" w:lineRule="auto"/>
        <w:ind w:left="0" w:firstLine="597" w:firstLineChars="300"/>
        <w:rPr>
          <w:rFonts w:ascii="Times New Roman" w:hAnsi="Times New Roman" w:eastAsia="Calibri" w:cs="Times New Roman"/>
          <w:w w:val="95"/>
          <w:sz w:val="21"/>
          <w:szCs w:val="21"/>
          <w:lang w:eastAsia="zh-CN"/>
        </w:rPr>
      </w:pPr>
      <w:r>
        <w:rPr>
          <w:rFonts w:ascii="Times New Roman" w:hAnsi="Times New Roman" w:eastAsia="Calibri" w:cs="Times New Roman"/>
          <w:w w:val="95"/>
          <w:sz w:val="21"/>
          <w:szCs w:val="21"/>
          <w:lang w:eastAsia="zh-CN"/>
        </w:rPr>
        <w:t>Beneficiary Bank Name</w:t>
      </w:r>
      <w:r>
        <w:rPr>
          <w:rFonts w:hint="eastAsia" w:ascii="微软雅黑" w:hAnsi="微软雅黑" w:eastAsia="微软雅黑" w:cs="微软雅黑"/>
          <w:w w:val="95"/>
          <w:sz w:val="21"/>
          <w:szCs w:val="21"/>
          <w:lang w:eastAsia="zh-CN"/>
        </w:rPr>
        <w:t>：</w:t>
      </w:r>
      <w:r>
        <w:rPr>
          <w:rFonts w:ascii="Times New Roman" w:hAnsi="Times New Roman" w:eastAsia="Calibri" w:cs="Times New Roman"/>
          <w:w w:val="95"/>
          <w:sz w:val="21"/>
          <w:szCs w:val="21"/>
          <w:lang w:eastAsia="zh-CN"/>
        </w:rPr>
        <w:t>Bank of America, N.A.</w:t>
      </w:r>
    </w:p>
    <w:p w14:paraId="33FB0179">
      <w:pPr>
        <w:pStyle w:val="9"/>
        <w:tabs>
          <w:tab w:val="left" w:pos="980"/>
        </w:tabs>
        <w:spacing w:before="0" w:line="360" w:lineRule="auto"/>
        <w:ind w:left="0" w:firstLine="597" w:firstLineChars="300"/>
        <w:rPr>
          <w:rFonts w:ascii="Times New Roman" w:hAnsi="Times New Roman" w:eastAsia="Calibri" w:cs="Times New Roman"/>
          <w:w w:val="95"/>
          <w:sz w:val="21"/>
          <w:szCs w:val="21"/>
          <w:lang w:eastAsia="zh-CN"/>
        </w:rPr>
      </w:pPr>
      <w:r>
        <w:rPr>
          <w:rFonts w:ascii="Times New Roman" w:hAnsi="Times New Roman" w:eastAsia="Calibri" w:cs="Times New Roman"/>
          <w:w w:val="95"/>
          <w:sz w:val="21"/>
          <w:szCs w:val="21"/>
          <w:lang w:eastAsia="zh-CN"/>
        </w:rPr>
        <w:t>Bank Address</w:t>
      </w:r>
      <w:r>
        <w:rPr>
          <w:rFonts w:hint="eastAsia" w:ascii="微软雅黑" w:hAnsi="微软雅黑" w:eastAsia="微软雅黑" w:cs="微软雅黑"/>
          <w:w w:val="95"/>
          <w:sz w:val="21"/>
          <w:szCs w:val="21"/>
          <w:lang w:eastAsia="zh-CN"/>
        </w:rPr>
        <w:t>：</w:t>
      </w:r>
      <w:r>
        <w:rPr>
          <w:rFonts w:ascii="Times New Roman" w:hAnsi="Times New Roman" w:eastAsia="Calibri" w:cs="Times New Roman"/>
          <w:w w:val="95"/>
          <w:sz w:val="21"/>
          <w:szCs w:val="21"/>
          <w:lang w:eastAsia="zh-CN"/>
        </w:rPr>
        <w:t>555 California St., San Francisco, CA 94104, United States</w:t>
      </w:r>
    </w:p>
    <w:p w14:paraId="3F47327C">
      <w:pPr>
        <w:pStyle w:val="9"/>
        <w:tabs>
          <w:tab w:val="left" w:pos="980"/>
        </w:tabs>
        <w:spacing w:before="0" w:line="360" w:lineRule="auto"/>
        <w:ind w:left="0" w:firstLine="597" w:firstLineChars="300"/>
        <w:rPr>
          <w:rFonts w:ascii="Times New Roman" w:hAnsi="Times New Roman" w:eastAsia="Calibri" w:cs="Times New Roman"/>
          <w:w w:val="95"/>
          <w:sz w:val="21"/>
          <w:szCs w:val="21"/>
          <w:lang w:eastAsia="zh-CN"/>
        </w:rPr>
      </w:pPr>
      <w:r>
        <w:rPr>
          <w:rFonts w:ascii="Times New Roman" w:hAnsi="Times New Roman" w:eastAsia="Calibri" w:cs="Times New Roman"/>
          <w:w w:val="95"/>
          <w:sz w:val="21"/>
          <w:szCs w:val="21"/>
          <w:lang w:eastAsia="zh-CN"/>
        </w:rPr>
        <w:t>SWIFT Code</w:t>
      </w:r>
      <w:r>
        <w:rPr>
          <w:rFonts w:hint="eastAsia" w:ascii="微软雅黑" w:hAnsi="微软雅黑" w:eastAsia="微软雅黑" w:cs="微软雅黑"/>
          <w:w w:val="95"/>
          <w:sz w:val="21"/>
          <w:szCs w:val="21"/>
          <w:lang w:eastAsia="zh-CN"/>
        </w:rPr>
        <w:t>：</w:t>
      </w:r>
      <w:r>
        <w:rPr>
          <w:rFonts w:ascii="Times New Roman" w:hAnsi="Times New Roman" w:eastAsia="Calibri" w:cs="Times New Roman"/>
          <w:w w:val="95"/>
          <w:sz w:val="21"/>
          <w:szCs w:val="21"/>
          <w:lang w:eastAsia="zh-CN"/>
        </w:rPr>
        <w:t>BOFAUS3N</w:t>
      </w:r>
    </w:p>
    <w:p w14:paraId="00303564">
      <w:pPr>
        <w:pStyle w:val="9"/>
        <w:tabs>
          <w:tab w:val="left" w:pos="980"/>
        </w:tabs>
        <w:spacing w:before="0" w:line="360" w:lineRule="auto"/>
        <w:ind w:left="0" w:firstLine="597" w:firstLineChars="300"/>
        <w:rPr>
          <w:rFonts w:ascii="Times New Roman" w:hAnsi="Times New Roman" w:cs="Times New Roman"/>
          <w:lang w:eastAsia="zh-CN"/>
        </w:rPr>
      </w:pPr>
      <w:r>
        <w:rPr>
          <w:rFonts w:ascii="Times New Roman" w:hAnsi="Times New Roman" w:eastAsia="Calibri" w:cs="Times New Roman"/>
          <w:w w:val="95"/>
          <w:sz w:val="21"/>
          <w:szCs w:val="21"/>
          <w:lang w:eastAsia="zh-CN"/>
        </w:rPr>
        <w:t>Routing Number (Wires)</w:t>
      </w:r>
      <w:r>
        <w:rPr>
          <w:rFonts w:hint="eastAsia" w:ascii="微软雅黑" w:hAnsi="微软雅黑" w:eastAsia="微软雅黑" w:cs="微软雅黑"/>
          <w:w w:val="95"/>
          <w:sz w:val="21"/>
          <w:szCs w:val="21"/>
          <w:lang w:eastAsia="zh-CN"/>
        </w:rPr>
        <w:t>：</w:t>
      </w:r>
      <w:r>
        <w:rPr>
          <w:rFonts w:ascii="Times New Roman" w:hAnsi="Times New Roman" w:eastAsia="Calibri" w:cs="Times New Roman"/>
          <w:w w:val="95"/>
          <w:sz w:val="21"/>
          <w:szCs w:val="21"/>
          <w:lang w:eastAsia="zh-CN"/>
        </w:rPr>
        <w:t>026009593</w:t>
      </w:r>
    </w:p>
    <w:p w14:paraId="0D19B18E">
      <w:pPr>
        <w:pStyle w:val="3"/>
        <w:tabs>
          <w:tab w:val="left" w:pos="979"/>
          <w:tab w:val="left" w:pos="1399"/>
          <w:tab w:val="left" w:pos="2779"/>
        </w:tabs>
        <w:spacing w:before="166" w:line="360" w:lineRule="auto"/>
        <w:jc w:val="both"/>
        <w:rPr>
          <w:rFonts w:ascii="Times New Roman" w:hAnsi="Times New Roman"/>
          <w:b/>
          <w:bCs/>
          <w:sz w:val="24"/>
          <w:szCs w:val="24"/>
          <w:lang w:eastAsia="zh-CN"/>
        </w:rPr>
      </w:pPr>
    </w:p>
    <w:p w14:paraId="61F5BC96">
      <w:pPr>
        <w:pStyle w:val="3"/>
        <w:tabs>
          <w:tab w:val="left" w:pos="979"/>
          <w:tab w:val="left" w:pos="1399"/>
          <w:tab w:val="left" w:pos="2779"/>
        </w:tabs>
        <w:spacing w:before="166" w:line="360" w:lineRule="auto"/>
        <w:jc w:val="both"/>
        <w:rPr>
          <w:rFonts w:ascii="Times New Roman" w:hAnsi="Times New Roman"/>
          <w:b/>
          <w:bCs/>
          <w:sz w:val="24"/>
          <w:szCs w:val="24"/>
          <w:lang w:eastAsia="zh-CN"/>
        </w:rPr>
      </w:pPr>
      <w:r>
        <w:rPr>
          <w:rFonts w:hint="eastAsia" w:ascii="Times New Roman" w:hAnsi="Times New Roman"/>
          <w:b/>
          <w:bCs/>
          <w:sz w:val="24"/>
          <w:szCs w:val="24"/>
          <w:lang w:eastAsia="zh-CN"/>
        </w:rPr>
        <w:t>VII. Contact Information:</w:t>
      </w:r>
    </w:p>
    <w:p w14:paraId="49709130">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Email: capek@robot-china.com</w:t>
      </w:r>
    </w:p>
    <w:p w14:paraId="0BED6C25">
      <w:pPr>
        <w:pStyle w:val="3"/>
        <w:tabs>
          <w:tab w:val="left" w:pos="979"/>
          <w:tab w:val="left" w:pos="1399"/>
          <w:tab w:val="left" w:pos="2779"/>
        </w:tabs>
        <w:spacing w:before="166" w:line="360" w:lineRule="auto"/>
        <w:jc w:val="both"/>
        <w:rPr>
          <w:rFonts w:ascii="Times New Roman" w:hAnsi="Times New Roman"/>
          <w:sz w:val="22"/>
          <w:szCs w:val="22"/>
          <w:lang w:eastAsia="zh-CN"/>
        </w:rPr>
      </w:pPr>
      <w:r>
        <w:rPr>
          <w:rFonts w:hint="eastAsia" w:ascii="Times New Roman" w:hAnsi="Times New Roman"/>
          <w:sz w:val="22"/>
          <w:szCs w:val="22"/>
          <w:lang w:eastAsia="zh-CN"/>
        </w:rPr>
        <w:t xml:space="preserve">Contact: </w:t>
      </w:r>
      <w:r>
        <w:rPr>
          <w:rFonts w:ascii="Times New Roman" w:hAnsi="Times New Roman"/>
          <w:sz w:val="22"/>
          <w:szCs w:val="22"/>
          <w:lang w:eastAsia="zh-CN"/>
        </w:rPr>
        <w:t>Mr.</w:t>
      </w:r>
      <w:r>
        <w:rPr>
          <w:rFonts w:hint="eastAsia" w:ascii="Times New Roman" w:hAnsi="Times New Roman"/>
          <w:sz w:val="22"/>
          <w:szCs w:val="22"/>
          <w:lang w:eastAsia="zh-CN"/>
        </w:rPr>
        <w:t xml:space="preserve"> Mu</w:t>
      </w:r>
      <w:r>
        <w:rPr>
          <w:rFonts w:ascii="Times New Roman" w:hAnsi="Times New Roman"/>
          <w:sz w:val="22"/>
          <w:szCs w:val="22"/>
          <w:lang w:eastAsia="zh-CN"/>
        </w:rPr>
        <w:t xml:space="preserve">, Tel: </w:t>
      </w:r>
      <w:r>
        <w:rPr>
          <w:rFonts w:hint="eastAsia" w:ascii="Times New Roman" w:hAnsi="Times New Roman"/>
          <w:sz w:val="22"/>
          <w:szCs w:val="22"/>
          <w:lang w:eastAsia="zh-CN"/>
        </w:rPr>
        <w:t>15901767989 (WeChat: same number)</w:t>
      </w:r>
    </w:p>
    <w:sectPr>
      <w:headerReference r:id="rId3" w:type="default"/>
      <w:footerReference r:id="rId4" w:type="default"/>
      <w:pgSz w:w="11910" w:h="16840"/>
      <w:pgMar w:top="1440" w:right="960" w:bottom="1240" w:left="940" w:header="883" w:footer="104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CA6CD">
    <w:pPr>
      <w:pStyle w:val="3"/>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3724910</wp:posOffset>
              </wp:positionH>
              <wp:positionV relativeFrom="page">
                <wp:posOffset>9888855</wp:posOffset>
              </wp:positionV>
              <wp:extent cx="109220" cy="1397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09220" cy="139700"/>
                      </a:xfrm>
                      <a:prstGeom prst="rect">
                        <a:avLst/>
                      </a:prstGeom>
                      <a:noFill/>
                      <a:ln>
                        <a:noFill/>
                      </a:ln>
                    </wps:spPr>
                    <wps:txbx>
                      <w:txbxContent>
                        <w:p w14:paraId="6B5DEF15">
                          <w:pPr>
                            <w:spacing w:line="203" w:lineRule="exact"/>
                            <w:ind w:left="40"/>
                            <w:rPr>
                              <w:rFonts w:ascii="Calibri"/>
                              <w:sz w:val="18"/>
                            </w:rPr>
                          </w:pPr>
                          <w:r>
                            <w:fldChar w:fldCharType="begin"/>
                          </w:r>
                          <w:r>
                            <w:rPr>
                              <w:rFonts w:ascii="Calibri"/>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1026" o:spid="_x0000_s1026" o:spt="202" type="#_x0000_t202" style="position:absolute;left:0pt;margin-left:293.3pt;margin-top:778.65pt;height:11pt;width:8.6pt;mso-position-horizontal-relative:page;mso-position-vertical-relative:page;z-index:-251655168;mso-width-relative:page;mso-height-relative:page;" filled="f" stroked="f" coordsize="21600,21600" o:gfxdata="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KEQUjdsAAAANAQAADwAAAAAAAAABACAAAAAiAAAAZHJzL2Rvd25yZXYueG1s&#10;UEsBAhQAFAAAAAgAh07iQIqGaFS8AQAAdAMAAA4AAAAAAAAAAQAgAAAAKgEAAGRycy9lMm9Eb2Mu&#10;eG1sUEsFBgAAAAAGAAYAWQEAAFgFAAAAAA==&#10;">
              <v:fill on="f" focussize="0,0"/>
              <v:stroke on="f"/>
              <v:imagedata o:title=""/>
              <o:lock v:ext="edit" aspectratio="f"/>
              <v:textbox inset="0mm,0mm,0mm,0mm">
                <w:txbxContent>
                  <w:p w14:paraId="6B5DEF15">
                    <w:pPr>
                      <w:spacing w:line="203" w:lineRule="exact"/>
                      <w:ind w:left="40"/>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2336" behindDoc="1" locked="0" layoutInCell="1" allowOverlap="1">
              <wp:simplePos x="0" y="0"/>
              <wp:positionH relativeFrom="page">
                <wp:posOffset>5822950</wp:posOffset>
              </wp:positionH>
              <wp:positionV relativeFrom="page">
                <wp:posOffset>9893935</wp:posOffset>
              </wp:positionV>
              <wp:extent cx="1070610" cy="177800"/>
              <wp:effectExtent l="0" t="0" r="0" b="0"/>
              <wp:wrapNone/>
              <wp:docPr id="4" name="文本框 1027"/>
              <wp:cNvGraphicFramePr/>
              <a:graphic xmlns:a="http://schemas.openxmlformats.org/drawingml/2006/main">
                <a:graphicData uri="http://schemas.microsoft.com/office/word/2010/wordprocessingShape">
                  <wps:wsp>
                    <wps:cNvSpPr txBox="1"/>
                    <wps:spPr>
                      <a:xfrm>
                        <a:off x="0" y="0"/>
                        <a:ext cx="1070610" cy="177800"/>
                      </a:xfrm>
                      <a:prstGeom prst="rect">
                        <a:avLst/>
                      </a:prstGeom>
                      <a:noFill/>
                      <a:ln>
                        <a:noFill/>
                      </a:ln>
                    </wps:spPr>
                    <wps:txbx>
                      <w:txbxContent>
                        <w:p w14:paraId="2EE187A2">
                          <w:pPr>
                            <w:spacing w:line="264" w:lineRule="exact"/>
                            <w:ind w:left="20"/>
                            <w:rPr>
                              <w:rFonts w:ascii="Calibri"/>
                              <w:sz w:val="24"/>
                            </w:rPr>
                          </w:pPr>
                          <w:r>
                            <w:fldChar w:fldCharType="begin"/>
                          </w:r>
                          <w:r>
                            <w:instrText xml:space="preserve"> HYPERLINK "http://WWW.CAPEK.CN/" \h </w:instrText>
                          </w:r>
                          <w:r>
                            <w:fldChar w:fldCharType="separate"/>
                          </w:r>
                          <w:r>
                            <w:rPr>
                              <w:rFonts w:ascii="Calibri"/>
                              <w:spacing w:val="-3"/>
                              <w:sz w:val="24"/>
                            </w:rPr>
                            <w:t>WWW.CAPEK.CN</w:t>
                          </w:r>
                          <w:r>
                            <w:rPr>
                              <w:rFonts w:ascii="Calibri"/>
                              <w:spacing w:val="-3"/>
                              <w:sz w:val="24"/>
                            </w:rPr>
                            <w:fldChar w:fldCharType="end"/>
                          </w:r>
                        </w:p>
                      </w:txbxContent>
                    </wps:txbx>
                    <wps:bodyPr lIns="0" tIns="0" rIns="0" bIns="0" upright="1"/>
                  </wps:wsp>
                </a:graphicData>
              </a:graphic>
            </wp:anchor>
          </w:drawing>
        </mc:Choice>
        <mc:Fallback>
          <w:pict>
            <v:shape id="文本框 1027" o:spid="_x0000_s1026" o:spt="202" type="#_x0000_t202" style="position:absolute;left:0pt;margin-left:458.5pt;margin-top:779.05pt;height:14pt;width:84.3pt;mso-position-horizontal-relative:page;mso-position-vertical-relative:page;z-index:-251654144;mso-width-relative:page;mso-height-relative:page;" filled="f" stroked="f" coordsize="21600,21600" o:gfxdata="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E41PB9oAAAAOAQAADwAAAAAAAAABACAAAAAiAAAAZHJzL2Rvd25yZXYueG1s&#10;UEsBAhQAFAAAAAgAh07iQDK4Jn29AQAAdQMAAA4AAAAAAAAAAQAgAAAAKQEAAGRycy9lMm9Eb2Mu&#10;eG1sUEsFBgAAAAAGAAYAWQEAAFgFAAAAAA==&#10;">
              <v:fill on="f" focussize="0,0"/>
              <v:stroke on="f"/>
              <v:imagedata o:title=""/>
              <o:lock v:ext="edit" aspectratio="f"/>
              <v:textbox inset="0mm,0mm,0mm,0mm">
                <w:txbxContent>
                  <w:p w14:paraId="2EE187A2">
                    <w:pPr>
                      <w:spacing w:line="264" w:lineRule="exact"/>
                      <w:ind w:left="20"/>
                      <w:rPr>
                        <w:rFonts w:ascii="Calibri"/>
                        <w:sz w:val="24"/>
                      </w:rPr>
                    </w:pPr>
                    <w:r>
                      <w:fldChar w:fldCharType="begin"/>
                    </w:r>
                    <w:r>
                      <w:instrText xml:space="preserve"> HYPERLINK "http://WWW.CAPEK.CN/" \h </w:instrText>
                    </w:r>
                    <w:r>
                      <w:fldChar w:fldCharType="separate"/>
                    </w:r>
                    <w:r>
                      <w:rPr>
                        <w:rFonts w:ascii="Calibri"/>
                        <w:spacing w:val="-3"/>
                        <w:sz w:val="24"/>
                      </w:rPr>
                      <w:t>WWW.CAPEK.CN</w:t>
                    </w:r>
                    <w:r>
                      <w:rPr>
                        <w:rFonts w:ascii="Calibri"/>
                        <w:spacing w:val="-3"/>
                        <w:sz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6A67B">
    <w:pPr>
      <w:pStyle w:val="3"/>
      <w:spacing w:line="14" w:lineRule="auto"/>
      <w:rPr>
        <w:sz w:val="20"/>
      </w:rPr>
    </w:pPr>
    <w:r>
      <w:drawing>
        <wp:anchor distT="0" distB="0" distL="0" distR="0" simplePos="0" relativeHeight="251659264" behindDoc="1" locked="0" layoutInCell="1" allowOverlap="1">
          <wp:simplePos x="0" y="0"/>
          <wp:positionH relativeFrom="page">
            <wp:posOffset>669925</wp:posOffset>
          </wp:positionH>
          <wp:positionV relativeFrom="page">
            <wp:posOffset>560705</wp:posOffset>
          </wp:positionV>
          <wp:extent cx="961390" cy="35941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1" cstate="print"/>
                  <a:stretch>
                    <a:fillRect/>
                  </a:stretch>
                </pic:blipFill>
                <pic:spPr>
                  <a:xfrm>
                    <a:off x="0" y="0"/>
                    <a:ext cx="961643" cy="359664"/>
                  </a:xfrm>
                  <a:prstGeom prst="rect">
                    <a:avLst/>
                  </a:prstGeom>
                </pic:spPr>
              </pic:pic>
            </a:graphicData>
          </a:graphic>
        </wp:anchor>
      </w:drawing>
    </w:r>
    <w:r>
      <mc:AlternateContent>
        <mc:Choice Requires="wps">
          <w:drawing>
            <wp:anchor distT="0" distB="0" distL="114300" distR="114300" simplePos="0" relativeHeight="251660288" behindDoc="1" locked="0" layoutInCell="1" allowOverlap="1">
              <wp:simplePos x="0" y="0"/>
              <wp:positionH relativeFrom="page">
                <wp:posOffset>5261610</wp:posOffset>
              </wp:positionH>
              <wp:positionV relativeFrom="page">
                <wp:posOffset>744220</wp:posOffset>
              </wp:positionV>
              <wp:extent cx="1625600" cy="177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625600" cy="177800"/>
                      </a:xfrm>
                      <a:prstGeom prst="rect">
                        <a:avLst/>
                      </a:prstGeom>
                      <a:noFill/>
                      <a:ln>
                        <a:noFill/>
                      </a:ln>
                    </wps:spPr>
                    <wps:txbx>
                      <w:txbxContent>
                        <w:p w14:paraId="5883E207">
                          <w:pPr>
                            <w:spacing w:line="260" w:lineRule="exact"/>
                            <w:ind w:left="20"/>
                            <w:rPr>
                              <w:rFonts w:ascii="仿宋" w:eastAsia="仿宋"/>
                              <w:sz w:val="24"/>
                            </w:rPr>
                          </w:pPr>
                          <w:r>
                            <w:rPr>
                              <w:rFonts w:hint="eastAsia" w:ascii="仿宋" w:eastAsia="仿宋"/>
                              <w:sz w:val="24"/>
                            </w:rPr>
                            <w:t>遇见恰佩克 预见新未来</w:t>
                          </w:r>
                        </w:p>
                      </w:txbxContent>
                    </wps:txbx>
                    <wps:bodyPr lIns="0" tIns="0" rIns="0" bIns="0" upright="1"/>
                  </wps:wsp>
                </a:graphicData>
              </a:graphic>
            </wp:anchor>
          </w:drawing>
        </mc:Choice>
        <mc:Fallback>
          <w:pict>
            <v:shape id="文本框 1025" o:spid="_x0000_s1026" o:spt="202" type="#_x0000_t202" style="position:absolute;left:0pt;margin-left:414.3pt;margin-top:58.6pt;height:14pt;width:128pt;mso-position-horizontal-relative:page;mso-position-vertical-relative:page;z-index:-251656192;mso-width-relative:page;mso-height-relative:page;" filled="f" stroked="f" coordsize="21600,21600" o:gfxdata="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ELJ8naAAAADAEAAA8AAAAAAAAAAQAgAAAAIgAAAGRycy9kb3ducmV2LnhtbFBL&#10;AQIUABQAAAAIAIdO4kBMbbTcuwEAAHUDAAAOAAAAAAAAAAEAIAAAACkBAABkcnMvZTJvRG9jLnht&#10;bFBLBQYAAAAABgAGAFkBAABWBQAAAAA=&#10;">
              <v:fill on="f" focussize="0,0"/>
              <v:stroke on="f"/>
              <v:imagedata o:title=""/>
              <o:lock v:ext="edit" aspectratio="f"/>
              <v:textbox inset="0mm,0mm,0mm,0mm">
                <w:txbxContent>
                  <w:p w14:paraId="5883E207">
                    <w:pPr>
                      <w:spacing w:line="260" w:lineRule="exact"/>
                      <w:ind w:left="20"/>
                      <w:rPr>
                        <w:rFonts w:ascii="仿宋" w:eastAsia="仿宋"/>
                        <w:sz w:val="24"/>
                      </w:rPr>
                    </w:pPr>
                    <w:r>
                      <w:rPr>
                        <w:rFonts w:hint="eastAsia" w:ascii="仿宋" w:eastAsia="仿宋"/>
                        <w:sz w:val="24"/>
                      </w:rPr>
                      <w:t>遇见恰佩克 预见新未来</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2A7"/>
    <w:rsid w:val="000A427E"/>
    <w:rsid w:val="00116ECB"/>
    <w:rsid w:val="00130EF1"/>
    <w:rsid w:val="0013348D"/>
    <w:rsid w:val="002203DD"/>
    <w:rsid w:val="00330F22"/>
    <w:rsid w:val="003A1FD5"/>
    <w:rsid w:val="003E0C83"/>
    <w:rsid w:val="003E3489"/>
    <w:rsid w:val="003F1CFC"/>
    <w:rsid w:val="004373F6"/>
    <w:rsid w:val="00460301"/>
    <w:rsid w:val="004811B7"/>
    <w:rsid w:val="004B5725"/>
    <w:rsid w:val="004E0B07"/>
    <w:rsid w:val="004E3D89"/>
    <w:rsid w:val="00561A0F"/>
    <w:rsid w:val="006149F3"/>
    <w:rsid w:val="00631991"/>
    <w:rsid w:val="006647F3"/>
    <w:rsid w:val="006A5D19"/>
    <w:rsid w:val="006C259E"/>
    <w:rsid w:val="00751816"/>
    <w:rsid w:val="00770618"/>
    <w:rsid w:val="007E09A3"/>
    <w:rsid w:val="007F0D51"/>
    <w:rsid w:val="00803C8D"/>
    <w:rsid w:val="0081577B"/>
    <w:rsid w:val="008362CB"/>
    <w:rsid w:val="009543DC"/>
    <w:rsid w:val="009654EF"/>
    <w:rsid w:val="00A112B0"/>
    <w:rsid w:val="00A97E07"/>
    <w:rsid w:val="00AD4BCB"/>
    <w:rsid w:val="00B37502"/>
    <w:rsid w:val="00C5104E"/>
    <w:rsid w:val="00CA692B"/>
    <w:rsid w:val="00CB00E1"/>
    <w:rsid w:val="00CB6925"/>
    <w:rsid w:val="00CF3BDB"/>
    <w:rsid w:val="00D911BF"/>
    <w:rsid w:val="00DB3254"/>
    <w:rsid w:val="00DE49F6"/>
    <w:rsid w:val="00E112A7"/>
    <w:rsid w:val="00EC3139"/>
    <w:rsid w:val="00EE5F64"/>
    <w:rsid w:val="00F67C1C"/>
    <w:rsid w:val="00F67E2B"/>
    <w:rsid w:val="02464832"/>
    <w:rsid w:val="02B20030"/>
    <w:rsid w:val="030D4741"/>
    <w:rsid w:val="04CB41E8"/>
    <w:rsid w:val="054850FF"/>
    <w:rsid w:val="085B3B1D"/>
    <w:rsid w:val="09902B42"/>
    <w:rsid w:val="09DA6CC4"/>
    <w:rsid w:val="0A2F01B6"/>
    <w:rsid w:val="0AF3660F"/>
    <w:rsid w:val="0E947D89"/>
    <w:rsid w:val="0E9D4E90"/>
    <w:rsid w:val="0EC1004F"/>
    <w:rsid w:val="0FC712FE"/>
    <w:rsid w:val="10D02934"/>
    <w:rsid w:val="112A0531"/>
    <w:rsid w:val="11382C4E"/>
    <w:rsid w:val="13EF29E1"/>
    <w:rsid w:val="14170683"/>
    <w:rsid w:val="193F6FDA"/>
    <w:rsid w:val="1A1A046E"/>
    <w:rsid w:val="1B352220"/>
    <w:rsid w:val="1CC57360"/>
    <w:rsid w:val="1E3649B9"/>
    <w:rsid w:val="1F751511"/>
    <w:rsid w:val="20931C4F"/>
    <w:rsid w:val="211B1C44"/>
    <w:rsid w:val="22155C4F"/>
    <w:rsid w:val="222E649A"/>
    <w:rsid w:val="223A7A82"/>
    <w:rsid w:val="22884D5E"/>
    <w:rsid w:val="23AD74CB"/>
    <w:rsid w:val="23B5012E"/>
    <w:rsid w:val="24A51F50"/>
    <w:rsid w:val="27567236"/>
    <w:rsid w:val="28F65471"/>
    <w:rsid w:val="2DD34C40"/>
    <w:rsid w:val="303E48C0"/>
    <w:rsid w:val="30D7146E"/>
    <w:rsid w:val="31C559E0"/>
    <w:rsid w:val="31CB03E2"/>
    <w:rsid w:val="335800A3"/>
    <w:rsid w:val="33D20888"/>
    <w:rsid w:val="357C3F36"/>
    <w:rsid w:val="36A622B7"/>
    <w:rsid w:val="37557806"/>
    <w:rsid w:val="3A853F4A"/>
    <w:rsid w:val="3AF82FAC"/>
    <w:rsid w:val="3C914E57"/>
    <w:rsid w:val="3CB45ED9"/>
    <w:rsid w:val="3D3103CE"/>
    <w:rsid w:val="41BD0482"/>
    <w:rsid w:val="41CE08E1"/>
    <w:rsid w:val="42104DED"/>
    <w:rsid w:val="42584C32"/>
    <w:rsid w:val="42696936"/>
    <w:rsid w:val="449B0822"/>
    <w:rsid w:val="471032D6"/>
    <w:rsid w:val="481B6721"/>
    <w:rsid w:val="4938704D"/>
    <w:rsid w:val="4FE702F0"/>
    <w:rsid w:val="50D37CC2"/>
    <w:rsid w:val="519B59C5"/>
    <w:rsid w:val="53313A9A"/>
    <w:rsid w:val="53345306"/>
    <w:rsid w:val="53A34DF3"/>
    <w:rsid w:val="552B174F"/>
    <w:rsid w:val="55CB21FF"/>
    <w:rsid w:val="56CD51B3"/>
    <w:rsid w:val="570D50C8"/>
    <w:rsid w:val="58E75B32"/>
    <w:rsid w:val="59D70144"/>
    <w:rsid w:val="5BA54009"/>
    <w:rsid w:val="5C8F3BF8"/>
    <w:rsid w:val="5CF54B1C"/>
    <w:rsid w:val="5D677648"/>
    <w:rsid w:val="5DBB4CBE"/>
    <w:rsid w:val="5F095B6E"/>
    <w:rsid w:val="5FAA6092"/>
    <w:rsid w:val="62A50A9C"/>
    <w:rsid w:val="632151B1"/>
    <w:rsid w:val="64870D2F"/>
    <w:rsid w:val="675A253D"/>
    <w:rsid w:val="69934A52"/>
    <w:rsid w:val="6A9A45FF"/>
    <w:rsid w:val="6BC03D7B"/>
    <w:rsid w:val="6D1C78AA"/>
    <w:rsid w:val="6E521468"/>
    <w:rsid w:val="6FC60936"/>
    <w:rsid w:val="706F1065"/>
    <w:rsid w:val="727A1619"/>
    <w:rsid w:val="73B250BD"/>
    <w:rsid w:val="73C72D82"/>
    <w:rsid w:val="73D81E50"/>
    <w:rsid w:val="74561EEC"/>
    <w:rsid w:val="74C93F7E"/>
    <w:rsid w:val="74D510DE"/>
    <w:rsid w:val="77357A2F"/>
    <w:rsid w:val="78F45DAE"/>
    <w:rsid w:val="7C6F1FB3"/>
    <w:rsid w:val="7F5160D2"/>
    <w:rsid w:val="BFFE6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宋体" w:hAnsi="宋体" w:eastAsia="宋体" w:cs="宋体"/>
      <w:sz w:val="22"/>
      <w:szCs w:val="22"/>
      <w:lang w:val="en-US" w:eastAsia="en-US" w:bidi="ar-SA"/>
    </w:rPr>
  </w:style>
  <w:style w:type="paragraph" w:styleId="2">
    <w:name w:val="heading 1"/>
    <w:basedOn w:val="1"/>
    <w:qFormat/>
    <w:uiPriority w:val="9"/>
    <w:pPr>
      <w:spacing w:before="1"/>
      <w:ind w:left="140"/>
      <w:outlineLvl w:val="0"/>
    </w:pPr>
    <w:rPr>
      <w:rFonts w:ascii="黑体" w:hAnsi="黑体" w:eastAsia="黑体" w:cs="黑体"/>
      <w:sz w:val="28"/>
      <w:szCs w:val="28"/>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Body Text"/>
    <w:basedOn w:val="1"/>
    <w:autoRedefine/>
    <w:qFormat/>
    <w:uiPriority w:val="1"/>
    <w:rPr>
      <w:sz w:val="21"/>
      <w:szCs w:val="21"/>
    </w:rPr>
  </w:style>
  <w:style w:type="table" w:styleId="5">
    <w:name w:val="Table Grid"/>
    <w:basedOn w:val="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autoRedefine/>
    <w:unhideWhenUsed/>
    <w:qFormat/>
    <w:uiPriority w:val="99"/>
    <w:rPr>
      <w:color w:val="0000FF" w:themeColor="hyperlink"/>
      <w:u w:val="single"/>
      <w14:textFill>
        <w14:solidFill>
          <w14:schemeClr w14:val="hlink"/>
        </w14:solidFill>
      </w14:textFill>
    </w:rPr>
  </w:style>
  <w:style w:type="table" w:customStyle="1" w:styleId="8">
    <w:name w:val="Table Normal1"/>
    <w:autoRedefine/>
    <w:semiHidden/>
    <w:unhideWhenUsed/>
    <w:qFormat/>
    <w:uiPriority w:val="2"/>
    <w:tblPr>
      <w:tblCellMar>
        <w:top w:w="0" w:type="dxa"/>
        <w:left w:w="0" w:type="dxa"/>
        <w:bottom w:w="0" w:type="dxa"/>
        <w:right w:w="0" w:type="dxa"/>
      </w:tblCellMar>
    </w:tblPr>
  </w:style>
  <w:style w:type="paragraph" w:styleId="9">
    <w:name w:val="List Paragraph"/>
    <w:basedOn w:val="1"/>
    <w:autoRedefine/>
    <w:qFormat/>
    <w:uiPriority w:val="1"/>
    <w:pPr>
      <w:spacing w:before="82"/>
      <w:ind w:left="140" w:right="219" w:firstLine="420"/>
      <w:jc w:val="both"/>
    </w:pPr>
  </w:style>
  <w:style w:type="paragraph" w:customStyle="1" w:styleId="10">
    <w:name w:val="Table Paragraph"/>
    <w:basedOn w:val="1"/>
    <w:autoRedefine/>
    <w:qFormat/>
    <w:uiPriority w:val="1"/>
    <w:pPr>
      <w:spacing w:before="123"/>
      <w:ind w:left="181" w:right="131"/>
      <w:jc w:val="center"/>
    </w:pPr>
  </w:style>
  <w:style w:type="character" w:customStyle="1" w:styleId="11">
    <w:name w:val="Unresolved Mention1"/>
    <w:basedOn w:val="6"/>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1014</Words>
  <Characters>6077</Characters>
  <Lines>50</Lines>
  <Paragraphs>14</Paragraphs>
  <TotalTime>8</TotalTime>
  <ScaleCrop>false</ScaleCrop>
  <LinksUpToDate>false</LinksUpToDate>
  <CharactersWithSpaces>7049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2021-12-16T17:38:00Z</dcterms:created>
  <dc:creator>侯俊丽</dc:creator>
  <cp:lastModifiedBy>V</cp:lastModifiedBy>
  <dcterms:modified xsi:type="dcterms:W3CDTF">2025-12-31T03:11:06Z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2021-01-25T00:00:00Z</vt:filetime>
  </property>
  <property fmtid="{D5CDD505-2E9C-101B-9397-08002B2CF9AE}" pid="3" name="Creator">
    <vt:lpwstr>WPS 文字</vt:lpwstr>
  </property>
  <property fmtid="{D5CDD505-2E9C-101B-9397-08002B2CF9AE}" pid="4" name="LastSaved">
    <vt:filetime>2021-12-16T00:00:00Z</vt:filetime>
  </property>
  <property fmtid="{D5CDD505-2E9C-101B-9397-08002B2CF9AE}" pid="5" name="KSOProductBuildVer">
    <vt:lpwstr>2052-12.1.0.24034</vt:lpwstr>
  </property>
  <property fmtid="{D5CDD505-2E9C-101B-9397-08002B2CF9AE}" pid="6" name="ICV">
    <vt:lpwstr>35B5634A269C472AA495E73EFDEF61C9_13</vt:lpwstr>
  </property>
  <property fmtid="{D5CDD505-2E9C-101B-9397-08002B2CF9AE}" pid="7" name="KSOTemplateDocerSaveRecord">
    <vt:lpwstr>eyJoZGlkIjoiOGU4NTAxMzJjMTkwZTVkNWQwYjIyMDIyNTg5ZmExY2EiLCJ1c2VySWQiOiI3NDI2ODIwMDcifQ==</vt:lpwstr>
  </property>
</Properties>
</file>